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w:t>
      </w:r>
      <w:bookmarkStart w:colFirst="0" w:colLast="0" w:name="gjdgxs" w:id="0"/>
      <w:bookmarkEnd w:id="0"/>
      <w:r w:rsidDel="00000000" w:rsidR="00000000" w:rsidRPr="00000000">
        <w:rPr>
          <w:rFonts w:ascii="Arial" w:cs="Arial" w:eastAsia="Arial" w:hAnsi="Arial"/>
          <w:sz w:val="20"/>
          <w:szCs w:val="20"/>
          <w:highlight w:val="white"/>
          <w:rtl w:val="0"/>
        </w:rPr>
        <w:t xml:space="preserve">Rationale: This SDP captures the actions identified to address the centre’s priorities for improvement over the coming 12 months. It does not capture all of the work of the centre, but does spell out the purpose of our priorities and how they achieve our overarching goals. The Bridge Achievement Centre is a happy and welcoming centre with a drive to maximise the life skills and wellbeing of our pupils. Focus development areas are identified from a range of self-evaluation processes, analysis of the 2023-24 SDP outcomes, consultation with staff, management committee &amp; professional partners and from discussion of key national and local priorities. The NCC priority relating to mitigating the effects of poverty is reflected in our second objective, and a major aspect of the Welsh Government agenda is reflected in our first and second objectives. All staff will have professional development objectives that relate to these areas, and agendas for staff meetings and training will be underpinned by these priorities.</w:t>
      </w:r>
    </w:p>
    <w:p w:rsidR="00000000" w:rsidDel="00000000" w:rsidP="00000000" w:rsidRDefault="00000000" w:rsidRPr="00000000" w14:paraId="00000002">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03">
      <w:pPr>
        <w:spacing w:after="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Overview:</w:t>
      </w:r>
    </w:p>
    <w:p w:rsidR="00000000" w:rsidDel="00000000" w:rsidP="00000000" w:rsidRDefault="00000000" w:rsidRPr="00000000" w14:paraId="00000004">
      <w:pPr>
        <w:spacing w:after="0" w:line="240" w:lineRule="auto"/>
        <w:rPr>
          <w:rFonts w:ascii="Arial" w:cs="Arial" w:eastAsia="Arial" w:hAnsi="Arial"/>
          <w:sz w:val="20"/>
          <w:szCs w:val="20"/>
          <w:highlight w:val="white"/>
        </w:rPr>
      </w:pPr>
      <w:r w:rsidDel="00000000" w:rsidR="00000000" w:rsidRPr="00000000">
        <w:rPr>
          <w:rtl w:val="0"/>
        </w:rPr>
      </w:r>
    </w:p>
    <w:tbl>
      <w:tblPr>
        <w:tblStyle w:val="Table1"/>
        <w:tblW w:w="153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0"/>
        <w:gridCol w:w="4395"/>
        <w:gridCol w:w="4470"/>
        <w:gridCol w:w="5055"/>
        <w:tblGridChange w:id="0">
          <w:tblGrid>
            <w:gridCol w:w="1410"/>
            <w:gridCol w:w="4395"/>
            <w:gridCol w:w="4470"/>
            <w:gridCol w:w="5055"/>
          </w:tblGrid>
        </w:tblGridChange>
      </w:tblGrid>
      <w:tr>
        <w:trPr>
          <w:cantSplit w:val="0"/>
          <w:tblHeader w:val="0"/>
        </w:trPr>
        <w:tc>
          <w:tcPr>
            <w:shd w:fill="auto" w:val="clear"/>
          </w:tcPr>
          <w:p w:rsidR="00000000" w:rsidDel="00000000" w:rsidP="00000000" w:rsidRDefault="00000000" w:rsidRPr="00000000" w14:paraId="00000005">
            <w:pPr>
              <w:spacing w:after="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Estyn Area</w:t>
            </w:r>
          </w:p>
        </w:tc>
        <w:tc>
          <w:tcPr>
            <w:shd w:fill="auto" w:val="clear"/>
          </w:tcPr>
          <w:p w:rsidR="00000000" w:rsidDel="00000000" w:rsidP="00000000" w:rsidRDefault="00000000" w:rsidRPr="00000000" w14:paraId="00000006">
            <w:pPr>
              <w:spacing w:after="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IA1 – Teaching and Learning</w:t>
            </w:r>
          </w:p>
        </w:tc>
        <w:tc>
          <w:tcPr>
            <w:shd w:fill="auto" w:val="clear"/>
          </w:tcPr>
          <w:p w:rsidR="00000000" w:rsidDel="00000000" w:rsidP="00000000" w:rsidRDefault="00000000" w:rsidRPr="00000000" w14:paraId="00000007">
            <w:pPr>
              <w:spacing w:after="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IA2 – Well-being, Care, Support and Guidance</w:t>
            </w:r>
          </w:p>
        </w:tc>
        <w:tc>
          <w:tcPr>
            <w:shd w:fill="auto" w:val="clear"/>
          </w:tcPr>
          <w:p w:rsidR="00000000" w:rsidDel="00000000" w:rsidP="00000000" w:rsidRDefault="00000000" w:rsidRPr="00000000" w14:paraId="00000008">
            <w:pPr>
              <w:spacing w:after="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IA3 – Leading and Improving</w:t>
            </w:r>
          </w:p>
        </w:tc>
      </w:tr>
      <w:tr>
        <w:trPr>
          <w:cantSplit w:val="0"/>
          <w:trHeight w:val="1140" w:hRule="atLeast"/>
          <w:tblHeader w:val="0"/>
        </w:trPr>
        <w:tc>
          <w:tcPr>
            <w:shd w:fill="auto" w:val="clear"/>
          </w:tcPr>
          <w:p w:rsidR="00000000" w:rsidDel="00000000" w:rsidP="00000000" w:rsidRDefault="00000000" w:rsidRPr="00000000" w14:paraId="00000009">
            <w:pPr>
              <w:spacing w:after="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Key objectives</w:t>
            </w:r>
          </w:p>
        </w:tc>
        <w:tc>
          <w:tcPr>
            <w:shd w:fill="auto" w:val="clear"/>
          </w:tcPr>
          <w:p w:rsidR="00000000" w:rsidDel="00000000" w:rsidP="00000000" w:rsidRDefault="00000000" w:rsidRPr="00000000" w14:paraId="0000000A">
            <w:pPr>
              <w:rPr>
                <w:rFonts w:ascii="Arial" w:cs="Arial" w:eastAsia="Arial" w:hAnsi="Arial"/>
                <w:i w:val="1"/>
                <w:sz w:val="20"/>
                <w:szCs w:val="20"/>
                <w:highlight w:val="cyan"/>
              </w:rPr>
            </w:pPr>
            <w:r w:rsidDel="00000000" w:rsidR="00000000" w:rsidRPr="00000000">
              <w:rPr>
                <w:rFonts w:ascii="Arial" w:cs="Arial" w:eastAsia="Arial" w:hAnsi="Arial"/>
                <w:i w:val="1"/>
                <w:sz w:val="20"/>
                <w:szCs w:val="20"/>
                <w:highlight w:val="cyan"/>
                <w:rtl w:val="0"/>
              </w:rPr>
              <w:t xml:space="preserve">Most pupils will make at least expected progress in relation to literacy and numeracy with nearly all year 11s achieving an increased number of recognised qualifications, enabling them to secure appropriate destinations.</w:t>
            </w:r>
          </w:p>
        </w:tc>
        <w:tc>
          <w:tcPr>
            <w:shd w:fill="auto" w:val="clear"/>
          </w:tcPr>
          <w:p w:rsidR="00000000" w:rsidDel="00000000" w:rsidP="00000000" w:rsidRDefault="00000000" w:rsidRPr="00000000" w14:paraId="0000000B">
            <w:pPr>
              <w:rPr>
                <w:rFonts w:ascii="Arial" w:cs="Arial" w:eastAsia="Arial" w:hAnsi="Arial"/>
                <w:i w:val="1"/>
                <w:sz w:val="20"/>
                <w:szCs w:val="20"/>
                <w:shd w:fill="ea9999" w:val="clear"/>
              </w:rPr>
            </w:pPr>
            <w:r w:rsidDel="00000000" w:rsidR="00000000" w:rsidRPr="00000000">
              <w:rPr>
                <w:rFonts w:ascii="Arial" w:cs="Arial" w:eastAsia="Arial" w:hAnsi="Arial"/>
                <w:i w:val="1"/>
                <w:sz w:val="20"/>
                <w:szCs w:val="20"/>
                <w:highlight w:val="green"/>
                <w:rtl w:val="0"/>
              </w:rPr>
              <w:t xml:space="preserve">For most pupils well-being and engagement is improving</w:t>
            </w:r>
            <w:r w:rsidDel="00000000" w:rsidR="00000000" w:rsidRPr="00000000">
              <w:rPr>
                <w:rFonts w:ascii="Arial" w:cs="Arial" w:eastAsia="Arial" w:hAnsi="Arial"/>
                <w:i w:val="1"/>
                <w:sz w:val="20"/>
                <w:szCs w:val="20"/>
                <w:highlight w:val="white"/>
                <w:rtl w:val="0"/>
              </w:rPr>
              <w:t xml:space="preserve"> </w:t>
            </w:r>
            <w:r w:rsidDel="00000000" w:rsidR="00000000" w:rsidRPr="00000000">
              <w:rPr>
                <w:rFonts w:ascii="Arial" w:cs="Arial" w:eastAsia="Arial" w:hAnsi="Arial"/>
                <w:i w:val="1"/>
                <w:sz w:val="20"/>
                <w:szCs w:val="20"/>
                <w:shd w:fill="ea9999" w:val="clear"/>
                <w:rtl w:val="0"/>
              </w:rPr>
              <w:t xml:space="preserve">and there is a specific focus on supporting  individual needs and circumstances.</w:t>
            </w:r>
          </w:p>
        </w:tc>
        <w:tc>
          <w:tcPr>
            <w:shd w:fill="auto" w:val="clear"/>
          </w:tcPr>
          <w:p w:rsidR="00000000" w:rsidDel="00000000" w:rsidP="00000000" w:rsidRDefault="00000000" w:rsidRPr="00000000" w14:paraId="0000000C">
            <w:pPr>
              <w:rPr>
                <w:rFonts w:ascii="Arial" w:cs="Arial" w:eastAsia="Arial" w:hAnsi="Arial"/>
                <w:i w:val="1"/>
                <w:sz w:val="20"/>
                <w:szCs w:val="20"/>
                <w:highlight w:val="white"/>
              </w:rPr>
            </w:pPr>
            <w:r w:rsidDel="00000000" w:rsidR="00000000" w:rsidRPr="00000000">
              <w:rPr>
                <w:rFonts w:ascii="Arial" w:cs="Arial" w:eastAsia="Arial" w:hAnsi="Arial"/>
                <w:i w:val="1"/>
                <w:sz w:val="20"/>
                <w:szCs w:val="20"/>
                <w:shd w:fill="cccccc" w:val="clear"/>
                <w:rtl w:val="0"/>
              </w:rPr>
              <w:t xml:space="preserve">Senior leader roles will be further embedded ensuring continued consistency across the PRU whilst developing the skills of lead teachers to support and enhance pupil progress</w:t>
            </w:r>
            <w:r w:rsidDel="00000000" w:rsidR="00000000" w:rsidRPr="00000000">
              <w:rPr>
                <w:rFonts w:ascii="Arial" w:cs="Arial" w:eastAsia="Arial" w:hAnsi="Arial"/>
                <w:i w:val="1"/>
                <w:sz w:val="20"/>
                <w:szCs w:val="20"/>
                <w:highlight w:val="white"/>
                <w:rtl w:val="0"/>
              </w:rPr>
              <w:t xml:space="preserve">.</w:t>
            </w:r>
          </w:p>
        </w:tc>
      </w:tr>
      <w:tr>
        <w:trPr>
          <w:cantSplit w:val="0"/>
          <w:trHeight w:val="1080" w:hRule="atLeast"/>
          <w:tblHeader w:val="0"/>
        </w:trPr>
        <w:tc>
          <w:tcPr>
            <w:shd w:fill="auto" w:val="clear"/>
          </w:tcPr>
          <w:p w:rsidR="00000000" w:rsidDel="00000000" w:rsidP="00000000" w:rsidRDefault="00000000" w:rsidRPr="00000000" w14:paraId="0000000D">
            <w:pPr>
              <w:spacing w:after="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Desired impact</w:t>
            </w:r>
          </w:p>
        </w:tc>
        <w:tc>
          <w:tcPr>
            <w:shd w:fill="auto" w:val="clear"/>
          </w:tcPr>
          <w:p w:rsidR="00000000" w:rsidDel="00000000" w:rsidP="00000000" w:rsidRDefault="00000000" w:rsidRPr="00000000" w14:paraId="0000000E">
            <w:pPr>
              <w:rPr>
                <w:rFonts w:ascii="Arial" w:cs="Arial" w:eastAsia="Arial" w:hAnsi="Arial"/>
                <w:sz w:val="20"/>
                <w:szCs w:val="20"/>
                <w:highlight w:val="cyan"/>
              </w:rPr>
            </w:pPr>
            <w:r w:rsidDel="00000000" w:rsidR="00000000" w:rsidRPr="00000000">
              <w:rPr>
                <w:rFonts w:ascii="Arial" w:cs="Arial" w:eastAsia="Arial" w:hAnsi="Arial"/>
                <w:sz w:val="20"/>
                <w:szCs w:val="20"/>
                <w:highlight w:val="cyan"/>
                <w:rtl w:val="0"/>
              </w:rPr>
              <w:t xml:space="preserve">More pupils leave with 5+ recognised qualifications and improved standards of literacy and numeracy to ensure a wider choice of pathways at the end of their time in compulsory education.</w:t>
            </w:r>
          </w:p>
        </w:tc>
        <w:tc>
          <w:tcPr>
            <w:shd w:fill="auto" w:val="clear"/>
          </w:tcPr>
          <w:p w:rsidR="00000000" w:rsidDel="00000000" w:rsidP="00000000" w:rsidRDefault="00000000" w:rsidRPr="00000000" w14:paraId="0000000F">
            <w:pPr>
              <w:rPr>
                <w:rFonts w:ascii="Arial" w:cs="Arial" w:eastAsia="Arial" w:hAnsi="Arial"/>
                <w:sz w:val="20"/>
                <w:szCs w:val="20"/>
                <w:highlight w:val="cyan"/>
              </w:rPr>
            </w:pPr>
            <w:r w:rsidDel="00000000" w:rsidR="00000000" w:rsidRPr="00000000">
              <w:rPr>
                <w:rFonts w:ascii="Arial" w:cs="Arial" w:eastAsia="Arial" w:hAnsi="Arial"/>
                <w:sz w:val="20"/>
                <w:szCs w:val="20"/>
                <w:shd w:fill="ff9900" w:val="clear"/>
                <w:rtl w:val="0"/>
              </w:rPr>
              <w:t xml:space="preserve">Attendance is improving and pupils are more engaged when attending</w:t>
            </w:r>
            <w:r w:rsidDel="00000000" w:rsidR="00000000" w:rsidRPr="00000000">
              <w:rPr>
                <w:rFonts w:ascii="Arial" w:cs="Arial" w:eastAsia="Arial" w:hAnsi="Arial"/>
                <w:sz w:val="20"/>
                <w:szCs w:val="20"/>
                <w:highlight w:val="white"/>
                <w:rtl w:val="0"/>
              </w:rPr>
              <w:t xml:space="preserve">.</w:t>
            </w:r>
            <w:r w:rsidDel="00000000" w:rsidR="00000000" w:rsidRPr="00000000">
              <w:rPr>
                <w:rFonts w:ascii="Arial" w:cs="Arial" w:eastAsia="Arial" w:hAnsi="Arial"/>
                <w:sz w:val="20"/>
                <w:szCs w:val="20"/>
                <w:highlight w:val="cyan"/>
                <w:rtl w:val="0"/>
              </w:rPr>
              <w:t xml:space="preserve"> Pupils and carers feel supported by the school community and are more engaged in their child’s education provision</w:t>
            </w:r>
            <w:r w:rsidDel="00000000" w:rsidR="00000000" w:rsidRPr="00000000">
              <w:rPr>
                <w:rtl w:val="0"/>
              </w:rPr>
            </w:r>
          </w:p>
        </w:tc>
        <w:tc>
          <w:tcPr>
            <w:shd w:fill="auto" w:val="clear"/>
          </w:tcPr>
          <w:p w:rsidR="00000000" w:rsidDel="00000000" w:rsidP="00000000" w:rsidRDefault="00000000" w:rsidRPr="00000000" w14:paraId="00000010">
            <w:pPr>
              <w:rPr>
                <w:rFonts w:ascii="Arial" w:cs="Arial" w:eastAsia="Arial" w:hAnsi="Arial"/>
                <w:sz w:val="20"/>
                <w:szCs w:val="20"/>
                <w:shd w:fill="cccccc" w:val="clear"/>
              </w:rPr>
            </w:pPr>
            <w:r w:rsidDel="00000000" w:rsidR="00000000" w:rsidRPr="00000000">
              <w:rPr>
                <w:rFonts w:ascii="Arial" w:cs="Arial" w:eastAsia="Arial" w:hAnsi="Arial"/>
                <w:sz w:val="20"/>
                <w:szCs w:val="20"/>
                <w:shd w:fill="cccccc" w:val="clear"/>
                <w:rtl w:val="0"/>
              </w:rPr>
              <w:t xml:space="preserve">QA evaluations continue to show strong progress and consistency across the PRU with strong support in place for all partners.</w:t>
            </w:r>
          </w:p>
        </w:tc>
      </w:tr>
    </w:tbl>
    <w:p w:rsidR="00000000" w:rsidDel="00000000" w:rsidP="00000000" w:rsidRDefault="00000000" w:rsidRPr="00000000" w14:paraId="00000011">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2">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3">
      <w:pPr>
        <w:spacing w:after="0" w:line="240" w:lineRule="auto"/>
        <w:rPr>
          <w:rFonts w:ascii="Arial" w:cs="Arial" w:eastAsia="Arial" w:hAnsi="Arial"/>
          <w:sz w:val="20"/>
          <w:szCs w:val="20"/>
          <w:shd w:fill="cccccc" w:val="clear"/>
        </w:rPr>
      </w:pPr>
      <w:r w:rsidDel="00000000" w:rsidR="00000000" w:rsidRPr="00000000">
        <w:rPr>
          <w:rFonts w:ascii="Arial" w:cs="Arial" w:eastAsia="Arial" w:hAnsi="Arial"/>
          <w:sz w:val="20"/>
          <w:szCs w:val="20"/>
          <w:highlight w:val="cyan"/>
          <w:rtl w:val="0"/>
        </w:rPr>
        <w:t xml:space="preserve">From SER</w:t>
      </w:r>
      <w:r w:rsidDel="00000000" w:rsidR="00000000" w:rsidRPr="00000000">
        <w:rPr>
          <w:rFonts w:ascii="Arial" w:cs="Arial" w:eastAsia="Arial" w:hAnsi="Arial"/>
          <w:sz w:val="20"/>
          <w:szCs w:val="20"/>
          <w:highlight w:val="white"/>
          <w:rtl w:val="0"/>
        </w:rPr>
        <w:tab/>
      </w:r>
      <w:r w:rsidDel="00000000" w:rsidR="00000000" w:rsidRPr="00000000">
        <w:rPr>
          <w:rFonts w:ascii="Arial" w:cs="Arial" w:eastAsia="Arial" w:hAnsi="Arial"/>
          <w:sz w:val="20"/>
          <w:szCs w:val="20"/>
          <w:shd w:fill="ff9900" w:val="clear"/>
          <w:rtl w:val="0"/>
        </w:rPr>
        <w:t xml:space="preserve">From National Priorities</w:t>
      </w:r>
      <w:r w:rsidDel="00000000" w:rsidR="00000000" w:rsidRPr="00000000">
        <w:rPr>
          <w:rFonts w:ascii="Arial" w:cs="Arial" w:eastAsia="Arial" w:hAnsi="Arial"/>
          <w:sz w:val="20"/>
          <w:szCs w:val="20"/>
          <w:highlight w:val="white"/>
          <w:rtl w:val="0"/>
        </w:rPr>
        <w:tab/>
      </w:r>
      <w:r w:rsidDel="00000000" w:rsidR="00000000" w:rsidRPr="00000000">
        <w:rPr>
          <w:rFonts w:ascii="Arial" w:cs="Arial" w:eastAsia="Arial" w:hAnsi="Arial"/>
          <w:sz w:val="20"/>
          <w:szCs w:val="20"/>
          <w:highlight w:val="green"/>
          <w:rtl w:val="0"/>
        </w:rPr>
        <w:t xml:space="preserve">From Estyn Inspection</w:t>
      </w:r>
      <w:r w:rsidDel="00000000" w:rsidR="00000000" w:rsidRPr="00000000">
        <w:rPr>
          <w:rFonts w:ascii="Arial" w:cs="Arial" w:eastAsia="Arial" w:hAnsi="Arial"/>
          <w:sz w:val="20"/>
          <w:szCs w:val="20"/>
          <w:highlight w:val="white"/>
          <w:rtl w:val="0"/>
        </w:rPr>
        <w:tab/>
      </w:r>
      <w:r w:rsidDel="00000000" w:rsidR="00000000" w:rsidRPr="00000000">
        <w:rPr>
          <w:rFonts w:ascii="Arial" w:cs="Arial" w:eastAsia="Arial" w:hAnsi="Arial"/>
          <w:sz w:val="20"/>
          <w:szCs w:val="20"/>
          <w:shd w:fill="ea9999" w:val="clear"/>
          <w:rtl w:val="0"/>
        </w:rPr>
        <w:t xml:space="preserve">From NCC (Local) Priorities</w:t>
      </w:r>
      <w:r w:rsidDel="00000000" w:rsidR="00000000" w:rsidRPr="00000000">
        <w:rPr>
          <w:rFonts w:ascii="Arial" w:cs="Arial" w:eastAsia="Arial" w:hAnsi="Arial"/>
          <w:sz w:val="20"/>
          <w:szCs w:val="20"/>
          <w:highlight w:val="white"/>
          <w:rtl w:val="0"/>
        </w:rPr>
        <w:tab/>
        <w:tab/>
      </w:r>
      <w:r w:rsidDel="00000000" w:rsidR="00000000" w:rsidRPr="00000000">
        <w:rPr>
          <w:rFonts w:ascii="Arial" w:cs="Arial" w:eastAsia="Arial" w:hAnsi="Arial"/>
          <w:sz w:val="20"/>
          <w:szCs w:val="20"/>
          <w:shd w:fill="cccccc" w:val="clear"/>
          <w:rtl w:val="0"/>
        </w:rPr>
        <w:t xml:space="preserve">From EAS (Local) priorities</w:t>
      </w:r>
    </w:p>
    <w:p w:rsidR="00000000" w:rsidDel="00000000" w:rsidP="00000000" w:rsidRDefault="00000000" w:rsidRPr="00000000" w14:paraId="00000014">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5">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6">
      <w:pPr>
        <w:spacing w:after="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Community working: the PRU works closely with most schools across Newport, but also has strong links with alternative vocational education providers.  SDP objectives are intrinsically linked to this close cooperation with the ultimate goal of improving the life chances of some of the city’s most vulnerable learners.  The PRU engages closely with multi agency teams and has strong links with the police, Youth Justice Service and Careers Wales, as well as local colleges and support services such as MIND and CAMHS.  Pupils spend productive time interacting in the local community as part of regular “enrichment” sessions e.g. visits to local gyms and recreational areas, as well as taking part in community activities such as dog-walking, visits to residential homes for the elderly etc.</w:t>
      </w:r>
    </w:p>
    <w:p w:rsidR="00000000" w:rsidDel="00000000" w:rsidP="00000000" w:rsidRDefault="00000000" w:rsidRPr="00000000" w14:paraId="00000017">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8">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9">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A">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B">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C">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D">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E">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F">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20">
      <w:pP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21">
      <w:pPr>
        <w:rPr>
          <w:rFonts w:ascii="Arial" w:cs="Arial" w:eastAsia="Arial" w:hAnsi="Arial"/>
          <w:sz w:val="20"/>
          <w:szCs w:val="20"/>
          <w:highlight w:val="white"/>
        </w:rPr>
      </w:pPr>
      <w:r w:rsidDel="00000000" w:rsidR="00000000" w:rsidRPr="00000000">
        <w:rPr>
          <w:rtl w:val="0"/>
        </w:rPr>
      </w:r>
    </w:p>
    <w:sectPr>
      <w:headerReference r:id="rId6" w:type="default"/>
      <w:pgSz w:h="11906" w:w="16838" w:orient="landscape"/>
      <w:pgMar w:bottom="720" w:top="720" w:left="720" w:right="720" w:header="708.6614173228347" w:footer="708.661417322834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rPr>
    </w:pPr>
    <w:r w:rsidDel="00000000" w:rsidR="00000000" w:rsidRPr="00000000">
      <w:rPr>
        <w:b w:val="1"/>
        <w:sz w:val="32"/>
        <w:szCs w:val="32"/>
        <w:rtl w:val="0"/>
      </w:rPr>
      <w:t xml:space="preserve">Bridge Achievement Centre</w:t>
    </w:r>
    <w:r w:rsidDel="00000000" w:rsidR="00000000" w:rsidRPr="00000000">
      <w:rPr>
        <w:rFonts w:ascii="Calibri" w:cs="Calibri" w:eastAsia="Calibri" w:hAnsi="Calibri"/>
        <w:b w:val="1"/>
        <w:i w:val="0"/>
        <w:smallCaps w:val="0"/>
        <w:strike w:val="0"/>
        <w:color w:val="000000"/>
        <w:sz w:val="32"/>
        <w:szCs w:val="32"/>
        <w:shd w:fill="auto" w:val="clear"/>
        <w:vertAlign w:val="baseline"/>
        <w:rtl w:val="0"/>
      </w:rPr>
      <w:t xml:space="preserve"> Development Plan 202</w:t>
    </w:r>
    <w:r w:rsidDel="00000000" w:rsidR="00000000" w:rsidRPr="00000000">
      <w:rPr>
        <w:b w:val="1"/>
        <w:sz w:val="32"/>
        <w:szCs w:val="32"/>
        <w:rtl w:val="0"/>
      </w:rPr>
      <w:t xml:space="preserve">4</w:t>
    </w:r>
    <w:r w:rsidDel="00000000" w:rsidR="00000000" w:rsidRPr="00000000">
      <w:rPr>
        <w:rFonts w:ascii="Calibri" w:cs="Calibri" w:eastAsia="Calibri" w:hAnsi="Calibri"/>
        <w:b w:val="1"/>
        <w:i w:val="0"/>
        <w:smallCaps w:val="0"/>
        <w:strike w:val="0"/>
        <w:color w:val="000000"/>
        <w:sz w:val="32"/>
        <w:szCs w:val="32"/>
        <w:shd w:fill="auto" w:val="clear"/>
        <w:vertAlign w:val="baseline"/>
        <w:rtl w:val="0"/>
      </w:rPr>
      <w:t xml:space="preserve">-2</w:t>
    </w:r>
    <w:r w:rsidDel="00000000" w:rsidR="00000000" w:rsidRPr="00000000">
      <w:rPr>
        <w:b w:val="1"/>
        <w:sz w:val="32"/>
        <w:szCs w:val="32"/>
        <w:rtl w:val="0"/>
      </w:rPr>
      <w:t xml:space="preserve">5</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9229725</wp:posOffset>
          </wp:positionH>
          <wp:positionV relativeFrom="paragraph">
            <wp:posOffset>-314315</wp:posOffset>
          </wp:positionV>
          <wp:extent cx="696841" cy="255181"/>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96841" cy="255181"/>
                  </a:xfrm>
                  <a:prstGeom prst="rect"/>
                  <a:ln/>
                </pic:spPr>
              </pic:pic>
            </a:graphicData>
          </a:graphic>
        </wp:anchor>
      </w:drawing>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240" w:lineRule="auto"/>
    </w:pPr>
    <w:rPr>
      <w:rFonts w:ascii="Cambria" w:cs="Cambria" w:eastAsia="Cambria" w:hAnsi="Cambria"/>
      <w:b w:val="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